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85B" w:rsidRDefault="00AF1284">
      <w:pPr>
        <w:pStyle w:val="1"/>
        <w:rPr>
          <w:rFonts w:ascii="宋体" w:hAnsi="宋体" w:cs="宋体"/>
        </w:rPr>
      </w:pPr>
      <w:r>
        <w:rPr>
          <w:rFonts w:ascii="宋体" w:hAnsi="宋体" w:cs="宋体" w:hint="eastAsia"/>
        </w:rPr>
        <w:t>评分标准</w:t>
      </w:r>
    </w:p>
    <w:tbl>
      <w:tblPr>
        <w:tblW w:w="9114"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tblPr>
      <w:tblGrid>
        <w:gridCol w:w="1146"/>
        <w:gridCol w:w="1223"/>
        <w:gridCol w:w="469"/>
        <w:gridCol w:w="6276"/>
      </w:tblGrid>
      <w:tr w:rsidR="004F085B" w:rsidRPr="00E143DB" w:rsidTr="0096374C">
        <w:trPr>
          <w:trHeight w:val="1160"/>
          <w:jc w:val="center"/>
        </w:trPr>
        <w:tc>
          <w:tcPr>
            <w:tcW w:w="1146" w:type="dxa"/>
            <w:tcBorders>
              <w:tl2br w:val="nil"/>
              <w:tr2bl w:val="nil"/>
            </w:tcBorders>
            <w:vAlign w:val="center"/>
          </w:tcPr>
          <w:p w:rsidR="004F085B" w:rsidRPr="00E143DB" w:rsidRDefault="00AF1284">
            <w:pPr>
              <w:pStyle w:val="10"/>
              <w:spacing w:line="360" w:lineRule="auto"/>
              <w:jc w:val="center"/>
              <w:rPr>
                <w:rFonts w:ascii="宋体" w:hAnsi="宋体" w:cs="宋体"/>
                <w:sz w:val="24"/>
              </w:rPr>
            </w:pPr>
            <w:r w:rsidRPr="00E143DB">
              <w:rPr>
                <w:rFonts w:ascii="宋体" w:hAnsi="宋体" w:cs="宋体" w:hint="eastAsia"/>
                <w:sz w:val="24"/>
              </w:rPr>
              <w:t>分项</w:t>
            </w:r>
          </w:p>
        </w:tc>
        <w:tc>
          <w:tcPr>
            <w:tcW w:w="1223" w:type="dxa"/>
            <w:tcBorders>
              <w:tl2br w:val="nil"/>
              <w:tr2bl w:val="nil"/>
            </w:tcBorders>
            <w:vAlign w:val="center"/>
          </w:tcPr>
          <w:p w:rsidR="004F085B" w:rsidRPr="00E143DB" w:rsidRDefault="00AF1284">
            <w:pPr>
              <w:pStyle w:val="10"/>
              <w:spacing w:line="360" w:lineRule="auto"/>
              <w:jc w:val="center"/>
              <w:rPr>
                <w:rFonts w:ascii="宋体" w:hAnsi="宋体" w:cs="宋体"/>
                <w:sz w:val="24"/>
              </w:rPr>
            </w:pPr>
            <w:r w:rsidRPr="00E143DB">
              <w:rPr>
                <w:rFonts w:ascii="宋体" w:hAnsi="宋体" w:cs="宋体" w:hint="eastAsia"/>
                <w:sz w:val="24"/>
              </w:rPr>
              <w:t>评审因素</w:t>
            </w:r>
          </w:p>
        </w:tc>
        <w:tc>
          <w:tcPr>
            <w:tcW w:w="469" w:type="dxa"/>
            <w:tcBorders>
              <w:tl2br w:val="nil"/>
              <w:tr2bl w:val="nil"/>
            </w:tcBorders>
            <w:vAlign w:val="center"/>
          </w:tcPr>
          <w:p w:rsidR="004F085B" w:rsidRPr="00E143DB" w:rsidRDefault="00AF1284">
            <w:pPr>
              <w:pStyle w:val="10"/>
              <w:spacing w:line="360" w:lineRule="auto"/>
              <w:jc w:val="center"/>
              <w:rPr>
                <w:rFonts w:ascii="宋体" w:hAnsi="宋体" w:cs="宋体"/>
                <w:sz w:val="24"/>
              </w:rPr>
            </w:pPr>
            <w:r w:rsidRPr="00E143DB">
              <w:rPr>
                <w:rFonts w:ascii="宋体" w:hAnsi="宋体" w:cs="宋体" w:hint="eastAsia"/>
                <w:sz w:val="24"/>
              </w:rPr>
              <w:t>分值</w:t>
            </w:r>
          </w:p>
        </w:tc>
        <w:tc>
          <w:tcPr>
            <w:tcW w:w="6276" w:type="dxa"/>
            <w:tcBorders>
              <w:tl2br w:val="nil"/>
              <w:tr2bl w:val="nil"/>
            </w:tcBorders>
            <w:vAlign w:val="center"/>
          </w:tcPr>
          <w:p w:rsidR="004F085B" w:rsidRPr="00E143DB" w:rsidRDefault="00AF1284">
            <w:pPr>
              <w:pStyle w:val="10"/>
              <w:spacing w:line="360" w:lineRule="auto"/>
              <w:jc w:val="center"/>
              <w:rPr>
                <w:rFonts w:ascii="宋体" w:hAnsi="宋体" w:cs="宋体"/>
                <w:sz w:val="24"/>
              </w:rPr>
            </w:pPr>
            <w:r w:rsidRPr="00E143DB">
              <w:rPr>
                <w:rFonts w:ascii="宋体" w:hAnsi="宋体" w:cs="宋体" w:hint="eastAsia"/>
                <w:sz w:val="24"/>
              </w:rPr>
              <w:t>评  分  依  据</w:t>
            </w:r>
          </w:p>
        </w:tc>
      </w:tr>
      <w:tr w:rsidR="004F085B" w:rsidRPr="00E143DB" w:rsidTr="0096374C">
        <w:trPr>
          <w:jc w:val="center"/>
        </w:trPr>
        <w:tc>
          <w:tcPr>
            <w:tcW w:w="1146" w:type="dxa"/>
            <w:tcBorders>
              <w:tl2br w:val="nil"/>
              <w:tr2bl w:val="nil"/>
            </w:tcBorders>
            <w:vAlign w:val="center"/>
          </w:tcPr>
          <w:p w:rsidR="004F085B" w:rsidRPr="00E143DB" w:rsidRDefault="00AF1284">
            <w:pPr>
              <w:pStyle w:val="12"/>
              <w:spacing w:line="360" w:lineRule="auto"/>
              <w:jc w:val="center"/>
              <w:rPr>
                <w:rFonts w:eastAsia="宋体" w:hAnsi="宋体" w:cs="宋体"/>
                <w:sz w:val="24"/>
                <w:szCs w:val="24"/>
              </w:rPr>
            </w:pPr>
            <w:r w:rsidRPr="00E143DB">
              <w:rPr>
                <w:rFonts w:eastAsia="宋体" w:hAnsi="宋体" w:cs="宋体" w:hint="eastAsia"/>
                <w:sz w:val="24"/>
                <w:szCs w:val="24"/>
              </w:rPr>
              <w:t>价格</w:t>
            </w:r>
          </w:p>
          <w:p w:rsidR="004F085B" w:rsidRPr="00E143DB" w:rsidRDefault="00AF1284">
            <w:pPr>
              <w:pStyle w:val="12"/>
              <w:spacing w:line="360" w:lineRule="auto"/>
              <w:jc w:val="center"/>
              <w:rPr>
                <w:rFonts w:eastAsia="宋体" w:hAnsi="宋体" w:cs="宋体"/>
                <w:sz w:val="24"/>
                <w:szCs w:val="24"/>
              </w:rPr>
            </w:pPr>
            <w:r w:rsidRPr="00E143DB">
              <w:rPr>
                <w:rFonts w:eastAsia="宋体" w:hAnsi="宋体" w:cs="宋体" w:hint="eastAsia"/>
                <w:sz w:val="24"/>
                <w:szCs w:val="24"/>
              </w:rPr>
              <w:t>（30分）</w:t>
            </w:r>
          </w:p>
        </w:tc>
        <w:tc>
          <w:tcPr>
            <w:tcW w:w="1223" w:type="dxa"/>
            <w:tcBorders>
              <w:tl2br w:val="nil"/>
              <w:tr2bl w:val="nil"/>
            </w:tcBorders>
            <w:vAlign w:val="center"/>
          </w:tcPr>
          <w:p w:rsidR="004F085B" w:rsidRPr="00E143DB" w:rsidRDefault="00B2237F">
            <w:pPr>
              <w:pStyle w:val="12"/>
              <w:spacing w:line="360" w:lineRule="auto"/>
              <w:jc w:val="center"/>
              <w:rPr>
                <w:rFonts w:eastAsia="宋体" w:hAnsi="宋体" w:cs="宋体"/>
                <w:sz w:val="24"/>
                <w:szCs w:val="24"/>
              </w:rPr>
            </w:pPr>
            <w:bookmarkStart w:id="0" w:name="OLE_LINK10"/>
            <w:r>
              <w:rPr>
                <w:rFonts w:eastAsia="宋体" w:hAnsi="宋体" w:cs="宋体" w:hint="eastAsia"/>
                <w:sz w:val="24"/>
                <w:szCs w:val="24"/>
              </w:rPr>
              <w:t>座谈</w:t>
            </w:r>
            <w:r w:rsidR="00AF1284" w:rsidRPr="00E143DB">
              <w:rPr>
                <w:rFonts w:eastAsia="宋体" w:hAnsi="宋体" w:cs="宋体" w:hint="eastAsia"/>
                <w:sz w:val="24"/>
                <w:szCs w:val="24"/>
              </w:rPr>
              <w:t>报价</w:t>
            </w:r>
          </w:p>
        </w:tc>
        <w:tc>
          <w:tcPr>
            <w:tcW w:w="469" w:type="dxa"/>
            <w:tcBorders>
              <w:tl2br w:val="nil"/>
              <w:tr2bl w:val="nil"/>
            </w:tcBorders>
            <w:vAlign w:val="center"/>
          </w:tcPr>
          <w:p w:rsidR="004F085B" w:rsidRPr="00E143DB" w:rsidRDefault="00AF1284">
            <w:pPr>
              <w:pStyle w:val="12"/>
              <w:spacing w:line="360" w:lineRule="auto"/>
              <w:jc w:val="center"/>
              <w:rPr>
                <w:rFonts w:eastAsia="宋体" w:hAnsi="宋体" w:cs="宋体"/>
                <w:sz w:val="24"/>
                <w:szCs w:val="24"/>
              </w:rPr>
            </w:pPr>
            <w:r w:rsidRPr="00E143DB">
              <w:rPr>
                <w:rFonts w:eastAsia="宋体" w:hAnsi="宋体" w:cs="宋体" w:hint="eastAsia"/>
                <w:sz w:val="24"/>
                <w:szCs w:val="24"/>
              </w:rPr>
              <w:t>30</w:t>
            </w:r>
          </w:p>
        </w:tc>
        <w:bookmarkEnd w:id="0"/>
        <w:tc>
          <w:tcPr>
            <w:tcW w:w="6276" w:type="dxa"/>
            <w:tcBorders>
              <w:tl2br w:val="nil"/>
              <w:tr2bl w:val="nil"/>
            </w:tcBorders>
            <w:vAlign w:val="center"/>
          </w:tcPr>
          <w:p w:rsidR="004F085B" w:rsidRPr="00E143DB" w:rsidRDefault="00AF1284" w:rsidP="00E143DB">
            <w:pPr>
              <w:pStyle w:val="12"/>
              <w:spacing w:line="360" w:lineRule="auto"/>
              <w:rPr>
                <w:rFonts w:eastAsia="宋体" w:hAnsi="宋体" w:cs="宋体"/>
                <w:sz w:val="24"/>
                <w:szCs w:val="24"/>
              </w:rPr>
            </w:pPr>
            <w:r w:rsidRPr="00E143DB">
              <w:rPr>
                <w:rFonts w:eastAsia="宋体" w:hAnsi="宋体" w:cs="宋体" w:hint="eastAsia"/>
                <w:sz w:val="24"/>
                <w:szCs w:val="24"/>
              </w:rPr>
              <w:t>以满足</w:t>
            </w:r>
            <w:r w:rsidR="00B81F17">
              <w:rPr>
                <w:rFonts w:eastAsia="宋体" w:hAnsi="宋体" w:cs="宋体" w:hint="eastAsia"/>
                <w:sz w:val="24"/>
                <w:szCs w:val="24"/>
              </w:rPr>
              <w:t>座谈需求表中</w:t>
            </w:r>
            <w:r w:rsidRPr="00E143DB">
              <w:rPr>
                <w:rFonts w:eastAsia="宋体" w:hAnsi="宋体" w:cs="宋体" w:hint="eastAsia"/>
                <w:sz w:val="24"/>
                <w:szCs w:val="24"/>
              </w:rPr>
              <w:t>要求且最后报价最低的报价为</w:t>
            </w:r>
            <w:r w:rsidR="00B2237F">
              <w:rPr>
                <w:rFonts w:eastAsia="宋体" w:hAnsi="宋体" w:cs="宋体" w:hint="eastAsia"/>
                <w:sz w:val="24"/>
                <w:szCs w:val="24"/>
              </w:rPr>
              <w:t>座谈</w:t>
            </w:r>
            <w:r w:rsidRPr="00E143DB">
              <w:rPr>
                <w:rFonts w:eastAsia="宋体" w:hAnsi="宋体" w:cs="宋体" w:hint="eastAsia"/>
                <w:sz w:val="24"/>
                <w:szCs w:val="24"/>
              </w:rPr>
              <w:t>基准价，其价格分为满分30分，其他供应商的价格分统一按照下列公式计算：报价得分＝（</w:t>
            </w:r>
            <w:r w:rsidR="00B2237F">
              <w:rPr>
                <w:rFonts w:eastAsia="宋体" w:hAnsi="宋体" w:cs="宋体" w:hint="eastAsia"/>
                <w:sz w:val="24"/>
                <w:szCs w:val="24"/>
              </w:rPr>
              <w:t>座谈</w:t>
            </w:r>
            <w:r w:rsidRPr="00E143DB">
              <w:rPr>
                <w:rFonts w:eastAsia="宋体" w:hAnsi="宋体" w:cs="宋体" w:hint="eastAsia"/>
                <w:sz w:val="24"/>
                <w:szCs w:val="24"/>
              </w:rPr>
              <w:t>基准价/各投标人最后</w:t>
            </w:r>
            <w:r w:rsidR="00B2237F">
              <w:rPr>
                <w:rFonts w:eastAsia="宋体" w:hAnsi="宋体" w:cs="宋体" w:hint="eastAsia"/>
                <w:sz w:val="24"/>
                <w:szCs w:val="24"/>
              </w:rPr>
              <w:t>座谈</w:t>
            </w:r>
            <w:r w:rsidRPr="00E143DB">
              <w:rPr>
                <w:rFonts w:eastAsia="宋体" w:hAnsi="宋体" w:cs="宋体" w:hint="eastAsia"/>
                <w:sz w:val="24"/>
                <w:szCs w:val="24"/>
              </w:rPr>
              <w:t>报价）×30×100％（</w:t>
            </w:r>
            <w:r w:rsidR="00B2237F">
              <w:rPr>
                <w:rFonts w:eastAsia="宋体" w:hAnsi="宋体" w:cs="宋体" w:hint="eastAsia"/>
                <w:sz w:val="24"/>
                <w:szCs w:val="24"/>
              </w:rPr>
              <w:t>座谈</w:t>
            </w:r>
            <w:r w:rsidRPr="00E143DB">
              <w:rPr>
                <w:rFonts w:eastAsia="宋体" w:hAnsi="宋体" w:cs="宋体" w:hint="eastAsia"/>
                <w:sz w:val="24"/>
                <w:szCs w:val="24"/>
              </w:rPr>
              <w:t>报价得分保留两位小数）。</w:t>
            </w:r>
          </w:p>
        </w:tc>
      </w:tr>
      <w:tr w:rsidR="004F085B" w:rsidRPr="00E143DB" w:rsidTr="0096374C">
        <w:trPr>
          <w:jc w:val="center"/>
        </w:trPr>
        <w:tc>
          <w:tcPr>
            <w:tcW w:w="1146" w:type="dxa"/>
            <w:vMerge w:val="restart"/>
            <w:tcBorders>
              <w:tl2br w:val="nil"/>
              <w:tr2bl w:val="nil"/>
            </w:tcBorders>
            <w:vAlign w:val="center"/>
          </w:tcPr>
          <w:p w:rsidR="004F085B" w:rsidRPr="00E143DB" w:rsidRDefault="00AF1284">
            <w:pPr>
              <w:pStyle w:val="12"/>
              <w:spacing w:line="360" w:lineRule="auto"/>
              <w:jc w:val="center"/>
              <w:rPr>
                <w:rFonts w:eastAsia="宋体" w:hAnsi="宋体" w:cs="宋体"/>
                <w:sz w:val="24"/>
                <w:szCs w:val="24"/>
              </w:rPr>
            </w:pPr>
            <w:r w:rsidRPr="00E143DB">
              <w:rPr>
                <w:rFonts w:eastAsia="宋体" w:hAnsi="宋体" w:cs="宋体" w:hint="eastAsia"/>
                <w:sz w:val="24"/>
                <w:szCs w:val="24"/>
              </w:rPr>
              <w:t>商务部分（</w:t>
            </w:r>
            <w:r w:rsidR="004E0048" w:rsidRPr="00E143DB">
              <w:rPr>
                <w:rFonts w:eastAsia="宋体" w:hAnsi="宋体" w:cs="宋体" w:hint="eastAsia"/>
                <w:sz w:val="24"/>
                <w:szCs w:val="24"/>
              </w:rPr>
              <w:t>12</w:t>
            </w:r>
            <w:r w:rsidRPr="00E143DB">
              <w:rPr>
                <w:rFonts w:eastAsia="宋体" w:hAnsi="宋体" w:cs="宋体" w:hint="eastAsia"/>
                <w:sz w:val="24"/>
                <w:szCs w:val="24"/>
              </w:rPr>
              <w:t>分）</w:t>
            </w:r>
          </w:p>
        </w:tc>
        <w:tc>
          <w:tcPr>
            <w:tcW w:w="1223" w:type="dxa"/>
            <w:tcBorders>
              <w:tl2br w:val="nil"/>
              <w:tr2bl w:val="nil"/>
            </w:tcBorders>
            <w:vAlign w:val="center"/>
          </w:tcPr>
          <w:p w:rsidR="004F085B" w:rsidRPr="00E143DB" w:rsidRDefault="00AF1284">
            <w:pPr>
              <w:pStyle w:val="12"/>
              <w:spacing w:line="360" w:lineRule="auto"/>
              <w:jc w:val="center"/>
              <w:rPr>
                <w:rFonts w:eastAsia="宋体" w:hAnsi="宋体" w:cs="宋体"/>
                <w:sz w:val="24"/>
                <w:szCs w:val="24"/>
              </w:rPr>
            </w:pPr>
            <w:r w:rsidRPr="00E143DB">
              <w:rPr>
                <w:rFonts w:eastAsia="宋体" w:hAnsi="宋体" w:cs="宋体" w:hint="eastAsia"/>
                <w:sz w:val="24"/>
                <w:szCs w:val="24"/>
              </w:rPr>
              <w:t>企业业绩</w:t>
            </w:r>
          </w:p>
        </w:tc>
        <w:tc>
          <w:tcPr>
            <w:tcW w:w="469" w:type="dxa"/>
            <w:tcBorders>
              <w:tl2br w:val="nil"/>
              <w:tr2bl w:val="nil"/>
            </w:tcBorders>
            <w:vAlign w:val="center"/>
          </w:tcPr>
          <w:p w:rsidR="004F085B" w:rsidRPr="00E143DB" w:rsidRDefault="004E0048">
            <w:pPr>
              <w:pStyle w:val="12"/>
              <w:spacing w:line="360" w:lineRule="auto"/>
              <w:jc w:val="center"/>
              <w:rPr>
                <w:rFonts w:eastAsia="宋体" w:hAnsi="宋体" w:cs="宋体"/>
                <w:sz w:val="24"/>
                <w:szCs w:val="24"/>
              </w:rPr>
            </w:pPr>
            <w:r w:rsidRPr="00E143DB">
              <w:rPr>
                <w:rFonts w:eastAsia="宋体" w:hAnsi="宋体" w:cs="宋体" w:hint="eastAsia"/>
                <w:sz w:val="24"/>
                <w:szCs w:val="24"/>
              </w:rPr>
              <w:t>6</w:t>
            </w:r>
          </w:p>
        </w:tc>
        <w:tc>
          <w:tcPr>
            <w:tcW w:w="6276" w:type="dxa"/>
            <w:tcBorders>
              <w:tl2br w:val="nil"/>
              <w:tr2bl w:val="nil"/>
            </w:tcBorders>
            <w:vAlign w:val="center"/>
          </w:tcPr>
          <w:p w:rsidR="004F085B" w:rsidRPr="00E143DB" w:rsidRDefault="00AF1284">
            <w:pPr>
              <w:spacing w:line="360" w:lineRule="auto"/>
              <w:jc w:val="left"/>
              <w:rPr>
                <w:rFonts w:ascii="宋体" w:hAnsi="宋体" w:cs="宋体"/>
                <w:sz w:val="24"/>
              </w:rPr>
            </w:pPr>
            <w:r w:rsidRPr="00E143DB">
              <w:rPr>
                <w:rFonts w:ascii="宋体" w:hAnsi="宋体" w:cs="宋体" w:hint="eastAsia"/>
                <w:sz w:val="24"/>
              </w:rPr>
              <w:t>提供自202</w:t>
            </w:r>
            <w:r w:rsidR="00E143DB" w:rsidRPr="00E143DB">
              <w:rPr>
                <w:rFonts w:ascii="宋体" w:hAnsi="宋体" w:cs="宋体" w:hint="eastAsia"/>
                <w:sz w:val="24"/>
              </w:rPr>
              <w:t>4</w:t>
            </w:r>
            <w:r w:rsidRPr="00E143DB">
              <w:rPr>
                <w:rFonts w:ascii="宋体" w:hAnsi="宋体" w:cs="宋体" w:hint="eastAsia"/>
                <w:sz w:val="24"/>
              </w:rPr>
              <w:t>年</w:t>
            </w:r>
            <w:r w:rsidR="005923E4" w:rsidRPr="00E143DB">
              <w:rPr>
                <w:rFonts w:ascii="宋体" w:hAnsi="宋体" w:cs="宋体" w:hint="eastAsia"/>
                <w:sz w:val="24"/>
              </w:rPr>
              <w:t>1</w:t>
            </w:r>
            <w:r w:rsidRPr="00E143DB">
              <w:rPr>
                <w:rFonts w:ascii="宋体" w:hAnsi="宋体" w:cs="宋体" w:hint="eastAsia"/>
                <w:sz w:val="24"/>
              </w:rPr>
              <w:t>月</w:t>
            </w:r>
            <w:r w:rsidR="004E0048" w:rsidRPr="00E143DB">
              <w:rPr>
                <w:rFonts w:ascii="宋体" w:hAnsi="宋体" w:cs="宋体" w:hint="eastAsia"/>
                <w:sz w:val="24"/>
              </w:rPr>
              <w:t>1日</w:t>
            </w:r>
            <w:r w:rsidRPr="00E143DB">
              <w:rPr>
                <w:rFonts w:ascii="宋体" w:hAnsi="宋体" w:cs="宋体" w:hint="eastAsia"/>
                <w:sz w:val="24"/>
              </w:rPr>
              <w:t>以后的同类采购项目合同复印件（时间以合同签订时间为准），每提供一个有效合同的得2分，本项最高得</w:t>
            </w:r>
            <w:r w:rsidR="004E0048" w:rsidRPr="00E143DB">
              <w:rPr>
                <w:rFonts w:ascii="宋体" w:hAnsi="宋体" w:cs="宋体" w:hint="eastAsia"/>
                <w:sz w:val="24"/>
              </w:rPr>
              <w:t>6</w:t>
            </w:r>
            <w:r w:rsidRPr="00E143DB">
              <w:rPr>
                <w:rFonts w:ascii="宋体" w:hAnsi="宋体" w:cs="宋体" w:hint="eastAsia"/>
                <w:sz w:val="24"/>
              </w:rPr>
              <w:t>分，未提供不得分。</w:t>
            </w:r>
          </w:p>
          <w:p w:rsidR="004F085B" w:rsidRPr="00E143DB" w:rsidRDefault="00AF1284">
            <w:pPr>
              <w:pStyle w:val="12"/>
              <w:spacing w:line="360" w:lineRule="auto"/>
              <w:rPr>
                <w:rFonts w:eastAsia="宋体" w:hAnsi="宋体" w:cs="宋体"/>
                <w:sz w:val="24"/>
                <w:szCs w:val="24"/>
              </w:rPr>
            </w:pPr>
            <w:r w:rsidRPr="00E143DB">
              <w:rPr>
                <w:rFonts w:eastAsia="宋体" w:hAnsi="宋体" w:cs="宋体" w:hint="eastAsia"/>
                <w:sz w:val="24"/>
                <w:szCs w:val="24"/>
              </w:rPr>
              <w:t>注：时间以合同签订时间为准，投标文件中同时提供合同原件</w:t>
            </w:r>
            <w:r w:rsidR="000312F4">
              <w:rPr>
                <w:rFonts w:eastAsia="宋体" w:hAnsi="宋体" w:cs="宋体" w:hint="eastAsia"/>
                <w:sz w:val="24"/>
                <w:szCs w:val="24"/>
              </w:rPr>
              <w:t>的</w:t>
            </w:r>
            <w:r w:rsidRPr="00E143DB">
              <w:rPr>
                <w:rFonts w:eastAsia="宋体" w:hAnsi="宋体" w:cs="宋体" w:hint="eastAsia"/>
                <w:sz w:val="24"/>
                <w:szCs w:val="24"/>
              </w:rPr>
              <w:t>扫描件并加盖公章，不提供或提供内容模糊不清该项不得分。</w:t>
            </w:r>
          </w:p>
        </w:tc>
      </w:tr>
      <w:tr w:rsidR="004F085B" w:rsidRPr="00E143DB" w:rsidTr="0096374C">
        <w:trPr>
          <w:jc w:val="center"/>
        </w:trPr>
        <w:tc>
          <w:tcPr>
            <w:tcW w:w="1146" w:type="dxa"/>
            <w:vMerge/>
            <w:tcBorders>
              <w:tl2br w:val="nil"/>
              <w:tr2bl w:val="nil"/>
            </w:tcBorders>
            <w:vAlign w:val="center"/>
          </w:tcPr>
          <w:p w:rsidR="004F085B" w:rsidRPr="00E143DB" w:rsidRDefault="004F085B">
            <w:pPr>
              <w:pStyle w:val="12"/>
              <w:spacing w:line="360" w:lineRule="auto"/>
              <w:jc w:val="center"/>
              <w:rPr>
                <w:rFonts w:eastAsia="宋体" w:hAnsi="宋体" w:cs="宋体"/>
                <w:sz w:val="24"/>
                <w:szCs w:val="24"/>
              </w:rPr>
            </w:pPr>
          </w:p>
        </w:tc>
        <w:tc>
          <w:tcPr>
            <w:tcW w:w="1223" w:type="dxa"/>
            <w:tcBorders>
              <w:tl2br w:val="nil"/>
              <w:tr2bl w:val="nil"/>
            </w:tcBorders>
            <w:vAlign w:val="center"/>
          </w:tcPr>
          <w:p w:rsidR="004F085B" w:rsidRPr="00E143DB" w:rsidRDefault="00AF1284">
            <w:pPr>
              <w:pStyle w:val="12"/>
              <w:spacing w:line="360" w:lineRule="auto"/>
              <w:jc w:val="center"/>
              <w:rPr>
                <w:rFonts w:eastAsia="宋体" w:hAnsi="宋体" w:cs="宋体"/>
                <w:sz w:val="24"/>
                <w:szCs w:val="24"/>
              </w:rPr>
            </w:pPr>
            <w:r w:rsidRPr="00E143DB">
              <w:rPr>
                <w:rFonts w:eastAsia="宋体" w:hAnsi="宋体" w:cs="宋体" w:hint="eastAsia"/>
                <w:sz w:val="24"/>
                <w:szCs w:val="24"/>
              </w:rPr>
              <w:t>企业证书</w:t>
            </w:r>
          </w:p>
        </w:tc>
        <w:tc>
          <w:tcPr>
            <w:tcW w:w="469" w:type="dxa"/>
            <w:tcBorders>
              <w:tl2br w:val="nil"/>
              <w:tr2bl w:val="nil"/>
            </w:tcBorders>
            <w:vAlign w:val="center"/>
          </w:tcPr>
          <w:p w:rsidR="004F085B" w:rsidRPr="00E143DB" w:rsidRDefault="004E0048">
            <w:pPr>
              <w:pStyle w:val="12"/>
              <w:spacing w:line="360" w:lineRule="auto"/>
              <w:jc w:val="center"/>
              <w:rPr>
                <w:rFonts w:eastAsia="宋体" w:hAnsi="宋体" w:cs="宋体"/>
                <w:sz w:val="24"/>
                <w:szCs w:val="24"/>
              </w:rPr>
            </w:pPr>
            <w:r w:rsidRPr="00E143DB">
              <w:rPr>
                <w:rFonts w:eastAsia="宋体" w:hAnsi="宋体" w:cs="宋体" w:hint="eastAsia"/>
                <w:sz w:val="24"/>
                <w:szCs w:val="24"/>
              </w:rPr>
              <w:t>6</w:t>
            </w:r>
          </w:p>
        </w:tc>
        <w:tc>
          <w:tcPr>
            <w:tcW w:w="6276" w:type="dxa"/>
            <w:tcBorders>
              <w:tl2br w:val="nil"/>
              <w:tr2bl w:val="nil"/>
            </w:tcBorders>
            <w:vAlign w:val="center"/>
          </w:tcPr>
          <w:p w:rsidR="004F085B" w:rsidRPr="00E143DB" w:rsidRDefault="00AF1284">
            <w:pPr>
              <w:pStyle w:val="12"/>
              <w:spacing w:line="360" w:lineRule="auto"/>
              <w:rPr>
                <w:rFonts w:eastAsia="宋体" w:hAnsi="宋体" w:cs="宋体"/>
                <w:sz w:val="24"/>
                <w:szCs w:val="24"/>
              </w:rPr>
            </w:pPr>
            <w:r w:rsidRPr="00E143DB">
              <w:rPr>
                <w:rFonts w:eastAsia="宋体" w:hAnsi="宋体" w:cs="宋体" w:hint="eastAsia"/>
                <w:sz w:val="24"/>
                <w:szCs w:val="24"/>
              </w:rPr>
              <w:t>1、具有ISO9001质量管理体系认证证书，得2分；</w:t>
            </w:r>
          </w:p>
          <w:p w:rsidR="004F085B" w:rsidRPr="00E143DB" w:rsidRDefault="00AF1284">
            <w:pPr>
              <w:pStyle w:val="12"/>
              <w:spacing w:line="360" w:lineRule="auto"/>
              <w:rPr>
                <w:rFonts w:eastAsia="宋体" w:hAnsi="宋体" w:cs="宋体"/>
                <w:sz w:val="24"/>
                <w:szCs w:val="24"/>
              </w:rPr>
            </w:pPr>
            <w:r w:rsidRPr="00E143DB">
              <w:rPr>
                <w:rFonts w:eastAsia="宋体" w:hAnsi="宋体" w:cs="宋体" w:hint="eastAsia"/>
                <w:sz w:val="24"/>
                <w:szCs w:val="24"/>
              </w:rPr>
              <w:t>2、具有ISO14001环境管理体系认证证书，得2分；</w:t>
            </w:r>
          </w:p>
          <w:p w:rsidR="004F085B" w:rsidRPr="00E143DB" w:rsidRDefault="00AF1284">
            <w:pPr>
              <w:pStyle w:val="12"/>
              <w:spacing w:line="360" w:lineRule="auto"/>
              <w:rPr>
                <w:rFonts w:eastAsia="宋体" w:hAnsi="宋体" w:cs="宋体"/>
                <w:sz w:val="24"/>
                <w:szCs w:val="24"/>
              </w:rPr>
            </w:pPr>
            <w:r w:rsidRPr="00E143DB">
              <w:rPr>
                <w:rFonts w:eastAsia="宋体" w:hAnsi="宋体" w:cs="宋体" w:hint="eastAsia"/>
                <w:sz w:val="24"/>
                <w:szCs w:val="24"/>
              </w:rPr>
              <w:t>3、具有ISO45001职业健康安全管理体系认证证书，得2分；</w:t>
            </w:r>
          </w:p>
          <w:p w:rsidR="004F085B" w:rsidRPr="00E143DB" w:rsidRDefault="00AF1284">
            <w:pPr>
              <w:pStyle w:val="12"/>
              <w:spacing w:line="360" w:lineRule="auto"/>
              <w:rPr>
                <w:rFonts w:eastAsia="宋体" w:hAnsi="宋体" w:cs="宋体"/>
                <w:sz w:val="24"/>
                <w:szCs w:val="24"/>
              </w:rPr>
            </w:pPr>
            <w:r w:rsidRPr="00E143DB">
              <w:rPr>
                <w:rFonts w:eastAsia="宋体" w:hAnsi="宋体" w:cs="宋体" w:hint="eastAsia"/>
                <w:sz w:val="24"/>
                <w:szCs w:val="24"/>
              </w:rPr>
              <w:t>注：。</w:t>
            </w:r>
            <w:r w:rsidR="00EA607E" w:rsidRPr="00E143DB">
              <w:rPr>
                <w:rFonts w:eastAsia="宋体" w:hAnsi="宋体" w:cs="宋体" w:hint="eastAsia"/>
                <w:sz w:val="24"/>
                <w:szCs w:val="24"/>
              </w:rPr>
              <w:t>以上体系认证1-3项认证范围应包含：计算机软硬件的销售等相关内容，</w:t>
            </w:r>
            <w:r w:rsidR="00C845BE">
              <w:rPr>
                <w:rFonts w:eastAsia="宋体" w:hAnsi="宋体" w:cs="宋体" w:hint="eastAsia"/>
                <w:sz w:val="24"/>
                <w:szCs w:val="24"/>
              </w:rPr>
              <w:t>证书在有效期内，</w:t>
            </w:r>
            <w:r w:rsidR="00EA607E" w:rsidRPr="00E143DB">
              <w:rPr>
                <w:rFonts w:eastAsia="宋体" w:hAnsi="宋体" w:cs="宋体" w:hint="eastAsia"/>
                <w:sz w:val="24"/>
                <w:szCs w:val="24"/>
              </w:rPr>
              <w:t>否则不得分。</w:t>
            </w:r>
            <w:r w:rsidRPr="00E143DB">
              <w:rPr>
                <w:rFonts w:eastAsia="宋体" w:hAnsi="宋体" w:cs="宋体" w:hint="eastAsia"/>
                <w:sz w:val="24"/>
                <w:szCs w:val="24"/>
              </w:rPr>
              <w:t>响应文件中须提供证书复印件（加盖公章），否则不予认定。</w:t>
            </w:r>
          </w:p>
        </w:tc>
      </w:tr>
      <w:tr w:rsidR="004F085B" w:rsidRPr="00E143DB" w:rsidTr="0096374C">
        <w:trPr>
          <w:jc w:val="center"/>
        </w:trPr>
        <w:tc>
          <w:tcPr>
            <w:tcW w:w="1146" w:type="dxa"/>
            <w:vMerge w:val="restart"/>
            <w:tcBorders>
              <w:tl2br w:val="nil"/>
              <w:tr2bl w:val="nil"/>
            </w:tcBorders>
            <w:vAlign w:val="center"/>
          </w:tcPr>
          <w:p w:rsidR="004F085B" w:rsidRPr="00E143DB" w:rsidRDefault="00AF1284">
            <w:pPr>
              <w:pStyle w:val="12"/>
              <w:spacing w:line="360" w:lineRule="auto"/>
              <w:jc w:val="center"/>
              <w:rPr>
                <w:rFonts w:eastAsia="宋体" w:hAnsi="宋体" w:cs="宋体"/>
                <w:sz w:val="24"/>
                <w:szCs w:val="24"/>
              </w:rPr>
            </w:pPr>
            <w:r w:rsidRPr="00E143DB">
              <w:rPr>
                <w:rFonts w:eastAsia="宋体" w:hAnsi="宋体" w:cs="宋体" w:hint="eastAsia"/>
                <w:sz w:val="24"/>
                <w:szCs w:val="24"/>
              </w:rPr>
              <w:t>技术部分（5</w:t>
            </w:r>
            <w:r w:rsidR="00C845BE">
              <w:rPr>
                <w:rFonts w:eastAsia="宋体" w:hAnsi="宋体" w:cs="宋体" w:hint="eastAsia"/>
                <w:sz w:val="24"/>
                <w:szCs w:val="24"/>
              </w:rPr>
              <w:t>8</w:t>
            </w:r>
            <w:r w:rsidRPr="00E143DB">
              <w:rPr>
                <w:rFonts w:eastAsia="宋体" w:hAnsi="宋体" w:cs="宋体" w:hint="eastAsia"/>
                <w:sz w:val="24"/>
                <w:szCs w:val="24"/>
              </w:rPr>
              <w:t>分）</w:t>
            </w:r>
          </w:p>
        </w:tc>
        <w:tc>
          <w:tcPr>
            <w:tcW w:w="1223" w:type="dxa"/>
            <w:tcBorders>
              <w:tl2br w:val="nil"/>
              <w:tr2bl w:val="nil"/>
            </w:tcBorders>
            <w:vAlign w:val="center"/>
          </w:tcPr>
          <w:p w:rsidR="004F085B" w:rsidRPr="00E143DB" w:rsidRDefault="00AF1284">
            <w:pPr>
              <w:pStyle w:val="12"/>
              <w:spacing w:line="360" w:lineRule="auto"/>
              <w:jc w:val="center"/>
              <w:rPr>
                <w:rFonts w:eastAsia="宋体" w:hAnsi="宋体" w:cs="宋体"/>
                <w:sz w:val="24"/>
                <w:szCs w:val="24"/>
              </w:rPr>
            </w:pPr>
            <w:r w:rsidRPr="00E143DB">
              <w:rPr>
                <w:rFonts w:eastAsia="宋体" w:hAnsi="宋体" w:cs="宋体" w:hint="eastAsia"/>
                <w:sz w:val="24"/>
                <w:szCs w:val="24"/>
              </w:rPr>
              <w:t>技术</w:t>
            </w:r>
            <w:r w:rsidR="004E0048" w:rsidRPr="00E143DB">
              <w:rPr>
                <w:rFonts w:eastAsia="宋体" w:hAnsi="宋体" w:cs="宋体" w:hint="eastAsia"/>
                <w:sz w:val="24"/>
                <w:szCs w:val="24"/>
              </w:rPr>
              <w:t>响应</w:t>
            </w:r>
          </w:p>
        </w:tc>
        <w:tc>
          <w:tcPr>
            <w:tcW w:w="469" w:type="dxa"/>
            <w:tcBorders>
              <w:tl2br w:val="nil"/>
              <w:tr2bl w:val="nil"/>
            </w:tcBorders>
            <w:vAlign w:val="center"/>
          </w:tcPr>
          <w:p w:rsidR="004F085B" w:rsidRPr="00E143DB" w:rsidRDefault="00E143DB">
            <w:pPr>
              <w:pStyle w:val="12"/>
              <w:spacing w:line="360" w:lineRule="auto"/>
              <w:jc w:val="center"/>
              <w:rPr>
                <w:rFonts w:eastAsia="宋体" w:hAnsi="宋体" w:cs="宋体"/>
                <w:sz w:val="24"/>
                <w:szCs w:val="24"/>
              </w:rPr>
            </w:pPr>
            <w:r w:rsidRPr="00E143DB">
              <w:rPr>
                <w:rFonts w:eastAsia="宋体" w:hAnsi="宋体" w:cs="宋体" w:hint="eastAsia"/>
                <w:sz w:val="24"/>
                <w:szCs w:val="24"/>
              </w:rPr>
              <w:t>20</w:t>
            </w:r>
          </w:p>
        </w:tc>
        <w:tc>
          <w:tcPr>
            <w:tcW w:w="6276" w:type="dxa"/>
            <w:tcBorders>
              <w:tl2br w:val="nil"/>
              <w:tr2bl w:val="nil"/>
            </w:tcBorders>
            <w:vAlign w:val="center"/>
          </w:tcPr>
          <w:p w:rsidR="004F085B" w:rsidRPr="00E143DB" w:rsidRDefault="004E0048">
            <w:pPr>
              <w:pStyle w:val="12"/>
              <w:spacing w:line="360" w:lineRule="auto"/>
              <w:rPr>
                <w:rFonts w:eastAsia="宋体" w:hAnsi="宋体" w:cs="宋体"/>
                <w:sz w:val="24"/>
                <w:szCs w:val="24"/>
              </w:rPr>
            </w:pPr>
            <w:r w:rsidRPr="00E143DB">
              <w:rPr>
                <w:rFonts w:eastAsia="宋体" w:hAnsi="宋体" w:cs="宋体" w:hint="eastAsia"/>
                <w:sz w:val="24"/>
                <w:szCs w:val="24"/>
              </w:rPr>
              <w:t>根据供应商提供的对本项目的需求理解及对采购人整体设备应用情况的了解情况进行评审。需求理解深入、分析准确的得20分，每存在一处不完善或不合理或针对性不强的内容扣1-2分，扣完为止，缺项不得分。</w:t>
            </w:r>
          </w:p>
        </w:tc>
      </w:tr>
      <w:tr w:rsidR="004F085B" w:rsidRPr="00E143DB" w:rsidTr="0096374C">
        <w:trPr>
          <w:trHeight w:val="461"/>
          <w:jc w:val="center"/>
        </w:trPr>
        <w:tc>
          <w:tcPr>
            <w:tcW w:w="1146" w:type="dxa"/>
            <w:vMerge/>
            <w:tcBorders>
              <w:tl2br w:val="nil"/>
              <w:tr2bl w:val="nil"/>
            </w:tcBorders>
            <w:vAlign w:val="center"/>
          </w:tcPr>
          <w:p w:rsidR="004F085B" w:rsidRPr="00E143DB" w:rsidRDefault="004F085B">
            <w:pPr>
              <w:pStyle w:val="12"/>
              <w:spacing w:line="360" w:lineRule="auto"/>
              <w:jc w:val="center"/>
              <w:rPr>
                <w:rFonts w:eastAsia="宋体" w:hAnsi="宋体" w:cs="宋体"/>
                <w:sz w:val="24"/>
                <w:szCs w:val="24"/>
              </w:rPr>
            </w:pPr>
          </w:p>
        </w:tc>
        <w:tc>
          <w:tcPr>
            <w:tcW w:w="1223" w:type="dxa"/>
            <w:tcBorders>
              <w:tl2br w:val="nil"/>
              <w:tr2bl w:val="nil"/>
            </w:tcBorders>
            <w:vAlign w:val="center"/>
          </w:tcPr>
          <w:p w:rsidR="004F085B" w:rsidRPr="00E143DB" w:rsidRDefault="004E0048">
            <w:pPr>
              <w:pStyle w:val="12"/>
              <w:spacing w:line="360" w:lineRule="auto"/>
              <w:jc w:val="center"/>
              <w:rPr>
                <w:rFonts w:eastAsia="宋体" w:hAnsi="宋体" w:cs="宋体"/>
                <w:sz w:val="24"/>
                <w:szCs w:val="24"/>
              </w:rPr>
            </w:pPr>
            <w:r w:rsidRPr="00E143DB">
              <w:rPr>
                <w:rFonts w:eastAsia="宋体" w:hAnsi="宋体" w:cs="宋体" w:hint="eastAsia"/>
                <w:sz w:val="24"/>
                <w:szCs w:val="24"/>
              </w:rPr>
              <w:t>维保方案</w:t>
            </w:r>
          </w:p>
        </w:tc>
        <w:tc>
          <w:tcPr>
            <w:tcW w:w="469" w:type="dxa"/>
            <w:tcBorders>
              <w:tl2br w:val="nil"/>
              <w:tr2bl w:val="nil"/>
            </w:tcBorders>
            <w:vAlign w:val="center"/>
          </w:tcPr>
          <w:p w:rsidR="004F085B" w:rsidRPr="00E143DB" w:rsidRDefault="00AF1284">
            <w:pPr>
              <w:pStyle w:val="12"/>
              <w:spacing w:line="360" w:lineRule="auto"/>
              <w:jc w:val="center"/>
              <w:rPr>
                <w:rFonts w:eastAsia="宋体" w:hAnsi="宋体" w:cs="宋体"/>
                <w:sz w:val="24"/>
                <w:szCs w:val="24"/>
              </w:rPr>
            </w:pPr>
            <w:r w:rsidRPr="00E143DB">
              <w:rPr>
                <w:rFonts w:eastAsia="宋体" w:hAnsi="宋体" w:cs="宋体" w:hint="eastAsia"/>
                <w:sz w:val="24"/>
                <w:szCs w:val="24"/>
              </w:rPr>
              <w:t>1</w:t>
            </w:r>
            <w:r w:rsidR="004E0048" w:rsidRPr="00E143DB">
              <w:rPr>
                <w:rFonts w:eastAsia="宋体" w:hAnsi="宋体" w:cs="宋体" w:hint="eastAsia"/>
                <w:sz w:val="24"/>
                <w:szCs w:val="24"/>
              </w:rPr>
              <w:t>5</w:t>
            </w:r>
          </w:p>
        </w:tc>
        <w:tc>
          <w:tcPr>
            <w:tcW w:w="6276" w:type="dxa"/>
            <w:tcBorders>
              <w:tl2br w:val="nil"/>
              <w:tr2bl w:val="nil"/>
            </w:tcBorders>
            <w:vAlign w:val="center"/>
          </w:tcPr>
          <w:p w:rsidR="004F085B" w:rsidRPr="00E143DB" w:rsidRDefault="004E0048" w:rsidP="000312F4">
            <w:pPr>
              <w:pStyle w:val="12"/>
              <w:spacing w:line="360" w:lineRule="auto"/>
              <w:rPr>
                <w:rFonts w:eastAsia="宋体" w:hAnsi="宋体" w:cs="宋体"/>
                <w:sz w:val="24"/>
                <w:szCs w:val="24"/>
              </w:rPr>
            </w:pPr>
            <w:r w:rsidRPr="00E143DB">
              <w:rPr>
                <w:rFonts w:eastAsia="宋体" w:hAnsi="宋体" w:cs="宋体" w:hint="eastAsia"/>
                <w:sz w:val="24"/>
                <w:szCs w:val="24"/>
              </w:rPr>
              <w:t>根据供应商提供的整体维保方案进行评审，至少包含维保目标、维保措施、备品备件配备情况</w:t>
            </w:r>
            <w:r w:rsidR="00C845BE">
              <w:rPr>
                <w:rFonts w:eastAsia="宋体" w:hAnsi="宋体" w:cs="宋体" w:hint="eastAsia"/>
                <w:sz w:val="24"/>
                <w:szCs w:val="24"/>
              </w:rPr>
              <w:t>等</w:t>
            </w:r>
            <w:r w:rsidRPr="00E143DB">
              <w:rPr>
                <w:rFonts w:eastAsia="宋体" w:hAnsi="宋体" w:cs="宋体" w:hint="eastAsia"/>
                <w:sz w:val="24"/>
                <w:szCs w:val="24"/>
              </w:rPr>
              <w:t>内容，本项最高得1</w:t>
            </w:r>
            <w:r w:rsidR="00C845BE">
              <w:rPr>
                <w:rFonts w:eastAsia="宋体" w:hAnsi="宋体" w:cs="宋体" w:hint="eastAsia"/>
                <w:sz w:val="24"/>
                <w:szCs w:val="24"/>
              </w:rPr>
              <w:t>5</w:t>
            </w:r>
            <w:r w:rsidRPr="00E143DB">
              <w:rPr>
                <w:rFonts w:eastAsia="宋体" w:hAnsi="宋体" w:cs="宋体" w:hint="eastAsia"/>
                <w:sz w:val="24"/>
                <w:szCs w:val="24"/>
              </w:rPr>
              <w:t>分，每存在一处不完善或不合理或针对性不强的内容扣</w:t>
            </w:r>
            <w:r w:rsidRPr="00E143DB">
              <w:rPr>
                <w:rFonts w:eastAsia="宋体" w:hAnsi="宋体" w:cs="宋体" w:hint="eastAsia"/>
                <w:sz w:val="24"/>
                <w:szCs w:val="24"/>
              </w:rPr>
              <w:lastRenderedPageBreak/>
              <w:t>1-2分，扣完为止，缺项不得分</w:t>
            </w:r>
            <w:r w:rsidR="00E143DB" w:rsidRPr="00E143DB">
              <w:rPr>
                <w:rFonts w:eastAsia="宋体" w:hAnsi="宋体" w:cs="宋体" w:hint="eastAsia"/>
                <w:sz w:val="24"/>
                <w:szCs w:val="24"/>
              </w:rPr>
              <w:t>。</w:t>
            </w:r>
          </w:p>
        </w:tc>
      </w:tr>
      <w:tr w:rsidR="004F085B" w:rsidRPr="00E143DB" w:rsidTr="0096374C">
        <w:trPr>
          <w:trHeight w:val="461"/>
          <w:jc w:val="center"/>
        </w:trPr>
        <w:tc>
          <w:tcPr>
            <w:tcW w:w="1146" w:type="dxa"/>
            <w:vMerge/>
            <w:tcBorders>
              <w:tl2br w:val="nil"/>
              <w:tr2bl w:val="nil"/>
            </w:tcBorders>
            <w:vAlign w:val="center"/>
          </w:tcPr>
          <w:p w:rsidR="004F085B" w:rsidRPr="00E143DB" w:rsidRDefault="004F085B">
            <w:pPr>
              <w:pStyle w:val="12"/>
              <w:spacing w:line="360" w:lineRule="auto"/>
              <w:rPr>
                <w:rFonts w:eastAsia="宋体" w:hAnsi="宋体" w:cs="宋体"/>
                <w:sz w:val="24"/>
                <w:szCs w:val="24"/>
              </w:rPr>
            </w:pPr>
          </w:p>
        </w:tc>
        <w:tc>
          <w:tcPr>
            <w:tcW w:w="1223" w:type="dxa"/>
            <w:tcBorders>
              <w:tl2br w:val="nil"/>
              <w:tr2bl w:val="nil"/>
            </w:tcBorders>
            <w:vAlign w:val="center"/>
          </w:tcPr>
          <w:p w:rsidR="004F085B" w:rsidRPr="00E143DB" w:rsidRDefault="00E143DB">
            <w:pPr>
              <w:pStyle w:val="12"/>
              <w:spacing w:line="360" w:lineRule="auto"/>
              <w:jc w:val="center"/>
              <w:rPr>
                <w:rFonts w:eastAsia="宋体" w:hAnsi="宋体" w:cs="宋体"/>
                <w:sz w:val="24"/>
                <w:szCs w:val="24"/>
              </w:rPr>
            </w:pPr>
            <w:r w:rsidRPr="00E143DB">
              <w:rPr>
                <w:rFonts w:eastAsia="宋体" w:hAnsi="宋体" w:cs="宋体" w:hint="eastAsia"/>
                <w:sz w:val="24"/>
                <w:szCs w:val="24"/>
              </w:rPr>
              <w:t>人员配备</w:t>
            </w:r>
          </w:p>
        </w:tc>
        <w:tc>
          <w:tcPr>
            <w:tcW w:w="469" w:type="dxa"/>
            <w:tcBorders>
              <w:tl2br w:val="nil"/>
              <w:tr2bl w:val="nil"/>
            </w:tcBorders>
            <w:vAlign w:val="center"/>
          </w:tcPr>
          <w:p w:rsidR="004F085B" w:rsidRPr="00E143DB" w:rsidRDefault="00AF1284">
            <w:pPr>
              <w:pStyle w:val="12"/>
              <w:spacing w:line="360" w:lineRule="auto"/>
              <w:jc w:val="center"/>
              <w:rPr>
                <w:rFonts w:eastAsia="宋体" w:hAnsi="宋体" w:cs="宋体"/>
                <w:sz w:val="24"/>
                <w:szCs w:val="24"/>
              </w:rPr>
            </w:pPr>
            <w:r w:rsidRPr="00E143DB">
              <w:rPr>
                <w:rFonts w:eastAsia="宋体" w:hAnsi="宋体" w:cs="宋体" w:hint="eastAsia"/>
                <w:sz w:val="24"/>
                <w:szCs w:val="24"/>
              </w:rPr>
              <w:t>10</w:t>
            </w:r>
          </w:p>
        </w:tc>
        <w:tc>
          <w:tcPr>
            <w:tcW w:w="6276" w:type="dxa"/>
            <w:tcBorders>
              <w:tl2br w:val="nil"/>
              <w:tr2bl w:val="nil"/>
            </w:tcBorders>
            <w:vAlign w:val="center"/>
          </w:tcPr>
          <w:p w:rsidR="004F085B" w:rsidRPr="00E143DB" w:rsidRDefault="004E0048">
            <w:pPr>
              <w:pStyle w:val="12"/>
              <w:spacing w:line="360" w:lineRule="auto"/>
              <w:rPr>
                <w:rFonts w:eastAsia="宋体" w:hAnsi="宋体" w:cs="宋体"/>
                <w:sz w:val="24"/>
                <w:szCs w:val="24"/>
              </w:rPr>
            </w:pPr>
            <w:r w:rsidRPr="00E143DB">
              <w:rPr>
                <w:rFonts w:eastAsia="宋体" w:hAnsi="宋体" w:cs="宋体" w:hint="eastAsia"/>
                <w:sz w:val="24"/>
                <w:szCs w:val="24"/>
              </w:rPr>
              <w:t>根据供应商提供的本项目人员配备方案进行综合评审，包括人员配备</w:t>
            </w:r>
            <w:r w:rsidR="00E143DB" w:rsidRPr="00E143DB">
              <w:rPr>
                <w:rFonts w:eastAsia="宋体" w:hAnsi="宋体" w:cs="宋体" w:hint="eastAsia"/>
                <w:sz w:val="24"/>
                <w:szCs w:val="24"/>
              </w:rPr>
              <w:t>合理性、针对性</w:t>
            </w:r>
            <w:r w:rsidRPr="00E143DB">
              <w:rPr>
                <w:rFonts w:eastAsia="宋体" w:hAnsi="宋体" w:cs="宋体" w:hint="eastAsia"/>
                <w:sz w:val="24"/>
                <w:szCs w:val="24"/>
              </w:rPr>
              <w:t>、人员架构及职责划分、团队专业能力、运维支撑能力</w:t>
            </w:r>
            <w:r w:rsidR="00E143DB" w:rsidRPr="00E143DB">
              <w:rPr>
                <w:rFonts w:eastAsia="宋体" w:hAnsi="宋体" w:cs="宋体" w:hint="eastAsia"/>
                <w:sz w:val="24"/>
                <w:szCs w:val="24"/>
              </w:rPr>
              <w:t>等</w:t>
            </w:r>
            <w:r w:rsidRPr="00E143DB">
              <w:rPr>
                <w:rFonts w:eastAsia="宋体" w:hAnsi="宋体" w:cs="宋体" w:hint="eastAsia"/>
                <w:sz w:val="24"/>
                <w:szCs w:val="24"/>
              </w:rPr>
              <w:t>，本项最高得10分。详尽、全面</w:t>
            </w:r>
            <w:r w:rsidR="00E143DB" w:rsidRPr="00E143DB">
              <w:rPr>
                <w:rFonts w:eastAsia="宋体" w:hAnsi="宋体" w:cs="宋体" w:hint="eastAsia"/>
                <w:sz w:val="24"/>
                <w:szCs w:val="24"/>
              </w:rPr>
              <w:t>、</w:t>
            </w:r>
            <w:r w:rsidRPr="00E143DB">
              <w:rPr>
                <w:rFonts w:eastAsia="宋体" w:hAnsi="宋体" w:cs="宋体" w:hint="eastAsia"/>
                <w:sz w:val="24"/>
                <w:szCs w:val="24"/>
              </w:rPr>
              <w:t>针对性</w:t>
            </w:r>
            <w:r w:rsidR="00E143DB" w:rsidRPr="00E143DB">
              <w:rPr>
                <w:rFonts w:eastAsia="宋体" w:hAnsi="宋体" w:cs="宋体" w:hint="eastAsia"/>
                <w:sz w:val="24"/>
                <w:szCs w:val="24"/>
              </w:rPr>
              <w:t>强</w:t>
            </w:r>
            <w:r w:rsidRPr="00E143DB">
              <w:rPr>
                <w:rFonts w:eastAsia="宋体" w:hAnsi="宋体" w:cs="宋体" w:hint="eastAsia"/>
                <w:sz w:val="24"/>
                <w:szCs w:val="24"/>
              </w:rPr>
              <w:t>、人员安排合理得满分10分；每出现一处不完善或不合理或无针对性扣1</w:t>
            </w:r>
            <w:r w:rsidR="00E143DB" w:rsidRPr="00E143DB">
              <w:rPr>
                <w:rFonts w:eastAsia="宋体" w:hAnsi="宋体" w:cs="宋体" w:hint="eastAsia"/>
                <w:sz w:val="24"/>
                <w:szCs w:val="24"/>
              </w:rPr>
              <w:t>-2</w:t>
            </w:r>
            <w:r w:rsidRPr="00E143DB">
              <w:rPr>
                <w:rFonts w:eastAsia="宋体" w:hAnsi="宋体" w:cs="宋体" w:hint="eastAsia"/>
                <w:sz w:val="24"/>
                <w:szCs w:val="24"/>
              </w:rPr>
              <w:t>分，扣完为止，缺项不得分。</w:t>
            </w:r>
          </w:p>
        </w:tc>
      </w:tr>
      <w:tr w:rsidR="004F085B" w:rsidRPr="00E143DB" w:rsidTr="0096374C">
        <w:trPr>
          <w:trHeight w:val="461"/>
          <w:jc w:val="center"/>
        </w:trPr>
        <w:tc>
          <w:tcPr>
            <w:tcW w:w="1146" w:type="dxa"/>
            <w:vMerge/>
            <w:tcBorders>
              <w:tl2br w:val="nil"/>
              <w:tr2bl w:val="nil"/>
            </w:tcBorders>
            <w:vAlign w:val="center"/>
          </w:tcPr>
          <w:p w:rsidR="004F085B" w:rsidRPr="00E143DB" w:rsidRDefault="004F085B">
            <w:pPr>
              <w:pStyle w:val="12"/>
              <w:spacing w:line="360" w:lineRule="auto"/>
              <w:rPr>
                <w:rFonts w:eastAsia="宋体" w:hAnsi="宋体" w:cs="宋体"/>
                <w:sz w:val="24"/>
                <w:szCs w:val="24"/>
              </w:rPr>
            </w:pPr>
          </w:p>
        </w:tc>
        <w:tc>
          <w:tcPr>
            <w:tcW w:w="1223" w:type="dxa"/>
            <w:tcBorders>
              <w:tl2br w:val="nil"/>
              <w:tr2bl w:val="nil"/>
            </w:tcBorders>
            <w:vAlign w:val="center"/>
          </w:tcPr>
          <w:p w:rsidR="004F085B" w:rsidRPr="00E143DB" w:rsidRDefault="00AF1284">
            <w:pPr>
              <w:pStyle w:val="12"/>
              <w:spacing w:line="360" w:lineRule="auto"/>
              <w:jc w:val="center"/>
              <w:rPr>
                <w:rFonts w:eastAsia="宋体" w:hAnsi="宋体" w:cs="宋体"/>
                <w:sz w:val="24"/>
                <w:szCs w:val="24"/>
              </w:rPr>
            </w:pPr>
            <w:r w:rsidRPr="00E143DB">
              <w:rPr>
                <w:rFonts w:eastAsia="宋体" w:hAnsi="宋体" w:cs="宋体" w:hint="eastAsia"/>
                <w:sz w:val="24"/>
                <w:szCs w:val="24"/>
              </w:rPr>
              <w:t>应急方案</w:t>
            </w:r>
          </w:p>
        </w:tc>
        <w:tc>
          <w:tcPr>
            <w:tcW w:w="469" w:type="dxa"/>
            <w:tcBorders>
              <w:tl2br w:val="nil"/>
              <w:tr2bl w:val="nil"/>
            </w:tcBorders>
            <w:vAlign w:val="center"/>
          </w:tcPr>
          <w:p w:rsidR="004F085B" w:rsidRPr="00E143DB" w:rsidRDefault="00E143DB">
            <w:pPr>
              <w:pStyle w:val="12"/>
              <w:spacing w:line="360" w:lineRule="auto"/>
              <w:jc w:val="center"/>
              <w:rPr>
                <w:rFonts w:eastAsia="宋体" w:hAnsi="宋体" w:cs="宋体"/>
                <w:sz w:val="24"/>
                <w:szCs w:val="24"/>
              </w:rPr>
            </w:pPr>
            <w:r w:rsidRPr="00E143DB">
              <w:rPr>
                <w:rFonts w:eastAsia="宋体" w:hAnsi="宋体" w:cs="宋体" w:hint="eastAsia"/>
                <w:sz w:val="24"/>
                <w:szCs w:val="24"/>
              </w:rPr>
              <w:t>8</w:t>
            </w:r>
          </w:p>
        </w:tc>
        <w:tc>
          <w:tcPr>
            <w:tcW w:w="6276" w:type="dxa"/>
            <w:tcBorders>
              <w:tl2br w:val="nil"/>
              <w:tr2bl w:val="nil"/>
            </w:tcBorders>
            <w:vAlign w:val="center"/>
          </w:tcPr>
          <w:p w:rsidR="004F085B" w:rsidRPr="00E143DB" w:rsidRDefault="00AF1284">
            <w:pPr>
              <w:spacing w:line="360" w:lineRule="auto"/>
              <w:outlineLvl w:val="0"/>
              <w:rPr>
                <w:rFonts w:ascii="宋体" w:hAnsi="宋体" w:cs="宋体"/>
                <w:sz w:val="24"/>
              </w:rPr>
            </w:pPr>
            <w:r w:rsidRPr="00E143DB">
              <w:rPr>
                <w:rFonts w:ascii="宋体" w:hAnsi="宋体" w:cs="宋体" w:hint="eastAsia"/>
                <w:sz w:val="24"/>
              </w:rPr>
              <w:t>投标人</w:t>
            </w:r>
            <w:r w:rsidRPr="00E143DB">
              <w:rPr>
                <w:rFonts w:ascii="宋体" w:hAnsi="宋体" w:cs="宋体" w:hint="eastAsia"/>
                <w:sz w:val="24"/>
                <w:lang w:val="zh-CN"/>
              </w:rPr>
              <w:t>提供的</w:t>
            </w:r>
            <w:r w:rsidR="000312F4">
              <w:rPr>
                <w:rFonts w:ascii="宋体" w:hAnsi="宋体" w:cs="宋体" w:hint="eastAsia"/>
                <w:sz w:val="24"/>
                <w:lang w:val="zh-CN"/>
              </w:rPr>
              <w:t>在</w:t>
            </w:r>
            <w:r w:rsidR="00E143DB" w:rsidRPr="00E143DB">
              <w:rPr>
                <w:rFonts w:ascii="宋体" w:hAnsi="宋体" w:cs="宋体" w:hint="eastAsia"/>
                <w:sz w:val="24"/>
                <w:lang w:val="zh-CN"/>
              </w:rPr>
              <w:t>维保</w:t>
            </w:r>
            <w:r w:rsidRPr="00E143DB">
              <w:rPr>
                <w:rFonts w:ascii="宋体" w:hAnsi="宋体" w:cs="宋体" w:hint="eastAsia"/>
                <w:sz w:val="24"/>
                <w:lang w:val="zh-CN"/>
              </w:rPr>
              <w:t>期间应急解决方案内容全面完整、合理可行、清晰明确且有利于</w:t>
            </w:r>
            <w:r w:rsidR="00E143DB" w:rsidRPr="00E143DB">
              <w:rPr>
                <w:rFonts w:ascii="宋体" w:hAnsi="宋体" w:cs="宋体" w:hint="eastAsia"/>
                <w:sz w:val="24"/>
                <w:lang w:val="zh-CN"/>
              </w:rPr>
              <w:t>采购人系统稳定运行</w:t>
            </w:r>
            <w:r w:rsidRPr="00E143DB">
              <w:rPr>
                <w:rFonts w:ascii="宋体" w:hAnsi="宋体" w:cs="宋体" w:hint="eastAsia"/>
                <w:sz w:val="24"/>
                <w:lang w:val="zh-CN"/>
              </w:rPr>
              <w:t>的得</w:t>
            </w:r>
            <w:r w:rsidR="00E143DB" w:rsidRPr="00E143DB">
              <w:rPr>
                <w:rFonts w:ascii="宋体" w:hAnsi="宋体" w:cs="宋体" w:hint="eastAsia"/>
                <w:sz w:val="24"/>
                <w:lang w:val="zh-CN"/>
              </w:rPr>
              <w:t>7-</w:t>
            </w:r>
            <w:r w:rsidR="00E143DB" w:rsidRPr="00E143DB">
              <w:rPr>
                <w:rFonts w:ascii="宋体" w:hAnsi="宋体" w:cs="宋体" w:hint="eastAsia"/>
                <w:sz w:val="24"/>
              </w:rPr>
              <w:t>8</w:t>
            </w:r>
            <w:r w:rsidRPr="00E143DB">
              <w:rPr>
                <w:rFonts w:ascii="宋体" w:hAnsi="宋体" w:cs="宋体" w:hint="eastAsia"/>
                <w:sz w:val="24"/>
              </w:rPr>
              <w:t>分；</w:t>
            </w:r>
          </w:p>
          <w:p w:rsidR="004F085B" w:rsidRPr="00E143DB" w:rsidRDefault="00AF1284">
            <w:pPr>
              <w:spacing w:line="360" w:lineRule="auto"/>
              <w:outlineLvl w:val="0"/>
              <w:rPr>
                <w:rFonts w:ascii="宋体" w:hAnsi="宋体" w:cs="宋体"/>
                <w:sz w:val="24"/>
              </w:rPr>
            </w:pPr>
            <w:r w:rsidRPr="00E143DB">
              <w:rPr>
                <w:rFonts w:ascii="宋体" w:hAnsi="宋体" w:cs="宋体" w:hint="eastAsia"/>
                <w:sz w:val="24"/>
              </w:rPr>
              <w:t>内容无缺漏项，描述较为合理、清晰的得</w:t>
            </w:r>
            <w:r w:rsidR="00E143DB" w:rsidRPr="00E143DB">
              <w:rPr>
                <w:rFonts w:ascii="宋体" w:hAnsi="宋体" w:cs="宋体" w:hint="eastAsia"/>
                <w:sz w:val="24"/>
              </w:rPr>
              <w:t>4-6</w:t>
            </w:r>
            <w:r w:rsidRPr="00E143DB">
              <w:rPr>
                <w:rFonts w:ascii="宋体" w:hAnsi="宋体" w:cs="宋体" w:hint="eastAsia"/>
                <w:sz w:val="24"/>
              </w:rPr>
              <w:t>分；</w:t>
            </w:r>
          </w:p>
          <w:p w:rsidR="004F085B" w:rsidRPr="00E143DB" w:rsidRDefault="00AF1284">
            <w:pPr>
              <w:pStyle w:val="12"/>
              <w:spacing w:line="360" w:lineRule="auto"/>
              <w:rPr>
                <w:rFonts w:eastAsia="宋体" w:hAnsi="宋体" w:cs="宋体"/>
                <w:sz w:val="24"/>
                <w:szCs w:val="24"/>
              </w:rPr>
            </w:pPr>
            <w:r w:rsidRPr="00E143DB">
              <w:rPr>
                <w:rFonts w:eastAsia="宋体" w:hAnsi="宋体" w:cs="宋体" w:hint="eastAsia"/>
                <w:sz w:val="24"/>
                <w:szCs w:val="24"/>
              </w:rPr>
              <w:t>内容有明显缺漏项不完整，缺乏可行性，描述不够清晰的得0-3分。</w:t>
            </w:r>
          </w:p>
        </w:tc>
      </w:tr>
      <w:tr w:rsidR="004F085B" w:rsidRPr="00E143DB" w:rsidTr="0096374C">
        <w:trPr>
          <w:trHeight w:val="90"/>
          <w:jc w:val="center"/>
        </w:trPr>
        <w:tc>
          <w:tcPr>
            <w:tcW w:w="1146" w:type="dxa"/>
            <w:vMerge/>
            <w:tcBorders>
              <w:tl2br w:val="nil"/>
              <w:tr2bl w:val="nil"/>
            </w:tcBorders>
            <w:vAlign w:val="center"/>
          </w:tcPr>
          <w:p w:rsidR="004F085B" w:rsidRPr="00E143DB" w:rsidRDefault="004F085B">
            <w:pPr>
              <w:pStyle w:val="12"/>
              <w:spacing w:line="360" w:lineRule="auto"/>
              <w:rPr>
                <w:rFonts w:eastAsia="宋体" w:hAnsi="宋体" w:cs="宋体"/>
                <w:sz w:val="24"/>
                <w:szCs w:val="24"/>
              </w:rPr>
            </w:pPr>
          </w:p>
        </w:tc>
        <w:tc>
          <w:tcPr>
            <w:tcW w:w="1223" w:type="dxa"/>
            <w:tcBorders>
              <w:tl2br w:val="nil"/>
              <w:tr2bl w:val="nil"/>
            </w:tcBorders>
            <w:vAlign w:val="center"/>
          </w:tcPr>
          <w:p w:rsidR="004F085B" w:rsidRPr="00E143DB" w:rsidRDefault="00AF1284">
            <w:pPr>
              <w:pStyle w:val="12"/>
              <w:spacing w:line="360" w:lineRule="auto"/>
              <w:jc w:val="center"/>
              <w:rPr>
                <w:rFonts w:eastAsia="宋体" w:hAnsi="宋体" w:cs="宋体"/>
                <w:sz w:val="24"/>
                <w:szCs w:val="24"/>
              </w:rPr>
            </w:pPr>
            <w:r w:rsidRPr="00E143DB">
              <w:rPr>
                <w:rFonts w:eastAsia="宋体" w:hAnsi="宋体" w:cs="宋体" w:hint="eastAsia"/>
                <w:sz w:val="24"/>
                <w:szCs w:val="24"/>
              </w:rPr>
              <w:t>售后服务方案</w:t>
            </w:r>
          </w:p>
        </w:tc>
        <w:tc>
          <w:tcPr>
            <w:tcW w:w="469" w:type="dxa"/>
            <w:tcBorders>
              <w:tl2br w:val="nil"/>
              <w:tr2bl w:val="nil"/>
            </w:tcBorders>
            <w:vAlign w:val="center"/>
          </w:tcPr>
          <w:p w:rsidR="004F085B" w:rsidRPr="00E143DB" w:rsidRDefault="00E143DB">
            <w:pPr>
              <w:pStyle w:val="12"/>
              <w:spacing w:line="360" w:lineRule="auto"/>
              <w:jc w:val="center"/>
              <w:rPr>
                <w:rFonts w:eastAsia="宋体" w:hAnsi="宋体" w:cs="宋体"/>
                <w:sz w:val="24"/>
                <w:szCs w:val="24"/>
              </w:rPr>
            </w:pPr>
            <w:r w:rsidRPr="00E143DB">
              <w:rPr>
                <w:rFonts w:eastAsia="宋体" w:hAnsi="宋体" w:cs="宋体" w:hint="eastAsia"/>
                <w:sz w:val="24"/>
                <w:szCs w:val="24"/>
              </w:rPr>
              <w:t>5</w:t>
            </w:r>
          </w:p>
        </w:tc>
        <w:tc>
          <w:tcPr>
            <w:tcW w:w="6276" w:type="dxa"/>
            <w:tcBorders>
              <w:tl2br w:val="nil"/>
              <w:tr2bl w:val="nil"/>
            </w:tcBorders>
            <w:vAlign w:val="center"/>
          </w:tcPr>
          <w:p w:rsidR="004F085B" w:rsidRPr="00E143DB" w:rsidRDefault="00AF1284">
            <w:pPr>
              <w:spacing w:line="360" w:lineRule="auto"/>
              <w:outlineLvl w:val="0"/>
              <w:rPr>
                <w:rFonts w:ascii="宋体" w:hAnsi="宋体" w:cs="宋体"/>
                <w:sz w:val="24"/>
              </w:rPr>
            </w:pPr>
            <w:r w:rsidRPr="00E143DB">
              <w:rPr>
                <w:rFonts w:ascii="宋体" w:hAnsi="宋体" w:cs="宋体" w:hint="eastAsia"/>
                <w:sz w:val="24"/>
              </w:rPr>
              <w:t>投标人提供的售后服务方案，包括但不限于售后服务保障体系、服务计划、维修响应时间等方面</w:t>
            </w:r>
            <w:r w:rsidR="00E143DB" w:rsidRPr="00E143DB">
              <w:rPr>
                <w:rFonts w:ascii="宋体" w:hAnsi="宋体" w:cs="宋体" w:hint="eastAsia"/>
                <w:sz w:val="24"/>
              </w:rPr>
              <w:t>，</w:t>
            </w:r>
            <w:r w:rsidRPr="00E143DB">
              <w:rPr>
                <w:rFonts w:ascii="宋体" w:hAnsi="宋体" w:cs="宋体" w:hint="eastAsia"/>
                <w:sz w:val="24"/>
              </w:rPr>
              <w:t>全面完整、合理可行、清晰明确的得3-5分；</w:t>
            </w:r>
          </w:p>
          <w:p w:rsidR="004F085B" w:rsidRPr="00E143DB" w:rsidRDefault="00AF1284">
            <w:pPr>
              <w:spacing w:line="360" w:lineRule="auto"/>
              <w:outlineLvl w:val="0"/>
              <w:rPr>
                <w:rFonts w:ascii="宋体" w:hAnsi="宋体" w:cs="宋体"/>
                <w:sz w:val="24"/>
              </w:rPr>
            </w:pPr>
            <w:r w:rsidRPr="00E143DB">
              <w:rPr>
                <w:rFonts w:ascii="宋体" w:hAnsi="宋体" w:cs="宋体" w:hint="eastAsia"/>
                <w:sz w:val="24"/>
              </w:rPr>
              <w:t>内容无缺漏项，描述较为合理、清晰的得2-3分；</w:t>
            </w:r>
          </w:p>
          <w:p w:rsidR="004F085B" w:rsidRPr="00E143DB" w:rsidRDefault="00AF1284">
            <w:pPr>
              <w:spacing w:line="360" w:lineRule="auto"/>
              <w:outlineLvl w:val="0"/>
              <w:rPr>
                <w:rFonts w:ascii="宋体" w:hAnsi="宋体" w:cs="宋体"/>
                <w:sz w:val="24"/>
                <w:lang w:val="zh-CN"/>
              </w:rPr>
            </w:pPr>
            <w:r w:rsidRPr="00E143DB">
              <w:rPr>
                <w:rFonts w:ascii="宋体" w:hAnsi="宋体" w:cs="宋体" w:hint="eastAsia"/>
                <w:sz w:val="24"/>
              </w:rPr>
              <w:t>内容有明显缺漏项不完整，缺乏可行性，描述不够清晰的得0-2分。</w:t>
            </w:r>
          </w:p>
        </w:tc>
      </w:tr>
    </w:tbl>
    <w:p w:rsidR="004F085B" w:rsidRDefault="004F085B">
      <w:pPr>
        <w:spacing w:line="360" w:lineRule="auto"/>
        <w:ind w:firstLineChars="200" w:firstLine="480"/>
        <w:jc w:val="left"/>
        <w:rPr>
          <w:rFonts w:ascii="宋体" w:hAnsi="宋体" w:cs="宋体"/>
          <w:sz w:val="24"/>
        </w:rPr>
      </w:pPr>
    </w:p>
    <w:p w:rsidR="004F085B" w:rsidRDefault="004F085B"/>
    <w:sectPr w:rsidR="004F085B" w:rsidSect="0008631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3EF9" w:rsidRDefault="00DE3EF9" w:rsidP="002E4055">
      <w:r>
        <w:separator/>
      </w:r>
    </w:p>
  </w:endnote>
  <w:endnote w:type="continuationSeparator" w:id="1">
    <w:p w:rsidR="00DE3EF9" w:rsidRDefault="00DE3EF9" w:rsidP="002E40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3EF9" w:rsidRDefault="00DE3EF9" w:rsidP="002E4055">
      <w:r>
        <w:separator/>
      </w:r>
    </w:p>
  </w:footnote>
  <w:footnote w:type="continuationSeparator" w:id="1">
    <w:p w:rsidR="00DE3EF9" w:rsidRDefault="00DE3EF9" w:rsidP="002E40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C72B82"/>
    <w:multiLevelType w:val="multilevel"/>
    <w:tmpl w:val="6BC72B82"/>
    <w:lvl w:ilvl="0">
      <w:start w:val="1"/>
      <w:numFmt w:val="chineseCounting"/>
      <w:pStyle w:val="1"/>
      <w:suff w:val="nothing"/>
      <w:lvlText w:val="%1、"/>
      <w:lvlJc w:val="left"/>
      <w:pPr>
        <w:ind w:left="0" w:firstLine="0"/>
      </w:pPr>
      <w:rPr>
        <w:rFonts w:hint="eastAsia"/>
      </w:rPr>
    </w:lvl>
    <w:lvl w:ilvl="1">
      <w:start w:val="1"/>
      <w:numFmt w:val="chineseCounting"/>
      <w:suff w:val="nothing"/>
      <w:lvlText w:val="（%2）"/>
      <w:lvlJc w:val="left"/>
      <w:pPr>
        <w:ind w:left="0" w:firstLine="0"/>
      </w:pPr>
      <w:rPr>
        <w:rFonts w:hint="eastAsia"/>
      </w:rPr>
    </w:lvl>
    <w:lvl w:ilvl="2">
      <w:start w:val="1"/>
      <w:numFmt w:val="decimal"/>
      <w:suff w:val="nothing"/>
      <w:lvlText w:val="%3．"/>
      <w:lvlJc w:val="left"/>
      <w:pPr>
        <w:ind w:left="0" w:firstLine="400"/>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FE32EC0"/>
    <w:rsid w:val="000312F4"/>
    <w:rsid w:val="00086317"/>
    <w:rsid w:val="001971B4"/>
    <w:rsid w:val="001D411E"/>
    <w:rsid w:val="002E4055"/>
    <w:rsid w:val="004E0048"/>
    <w:rsid w:val="004F085B"/>
    <w:rsid w:val="005923E4"/>
    <w:rsid w:val="00593B1B"/>
    <w:rsid w:val="00701477"/>
    <w:rsid w:val="008C75A1"/>
    <w:rsid w:val="0096374C"/>
    <w:rsid w:val="00AF1284"/>
    <w:rsid w:val="00B2237F"/>
    <w:rsid w:val="00B81F17"/>
    <w:rsid w:val="00C845BE"/>
    <w:rsid w:val="00DD5E64"/>
    <w:rsid w:val="00DE3EF9"/>
    <w:rsid w:val="00E143DB"/>
    <w:rsid w:val="00E77635"/>
    <w:rsid w:val="00EA607E"/>
    <w:rsid w:val="00FA4B6B"/>
    <w:rsid w:val="00FC233D"/>
    <w:rsid w:val="013767DA"/>
    <w:rsid w:val="040E508A"/>
    <w:rsid w:val="04EA5A4A"/>
    <w:rsid w:val="05F60F60"/>
    <w:rsid w:val="0EC320E7"/>
    <w:rsid w:val="10E7084B"/>
    <w:rsid w:val="12F12E86"/>
    <w:rsid w:val="16AE3434"/>
    <w:rsid w:val="17722F19"/>
    <w:rsid w:val="1AFA5C25"/>
    <w:rsid w:val="1D882103"/>
    <w:rsid w:val="1D903EC5"/>
    <w:rsid w:val="1E7251BC"/>
    <w:rsid w:val="1FBC3037"/>
    <w:rsid w:val="21D67D74"/>
    <w:rsid w:val="279D66DD"/>
    <w:rsid w:val="2AEC4F45"/>
    <w:rsid w:val="2CDD088B"/>
    <w:rsid w:val="2D7B37C6"/>
    <w:rsid w:val="34565D42"/>
    <w:rsid w:val="35976709"/>
    <w:rsid w:val="389F109C"/>
    <w:rsid w:val="3CDD352A"/>
    <w:rsid w:val="43847828"/>
    <w:rsid w:val="447224CE"/>
    <w:rsid w:val="4B334AF8"/>
    <w:rsid w:val="4C7622F4"/>
    <w:rsid w:val="4FE32EC0"/>
    <w:rsid w:val="52FA6A84"/>
    <w:rsid w:val="5337486D"/>
    <w:rsid w:val="576A7A2F"/>
    <w:rsid w:val="5B2007AF"/>
    <w:rsid w:val="5CAA71BE"/>
    <w:rsid w:val="63372062"/>
    <w:rsid w:val="635C088B"/>
    <w:rsid w:val="674138A3"/>
    <w:rsid w:val="70153B42"/>
    <w:rsid w:val="745F2EDF"/>
    <w:rsid w:val="77054BED"/>
    <w:rsid w:val="785D60B0"/>
    <w:rsid w:val="78D531BC"/>
    <w:rsid w:val="7C6A171A"/>
    <w:rsid w:val="7E8E3796"/>
    <w:rsid w:val="7F0F6E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6317"/>
    <w:pPr>
      <w:widowControl w:val="0"/>
      <w:jc w:val="both"/>
    </w:pPr>
    <w:rPr>
      <w:rFonts w:ascii="Calibri" w:eastAsia="宋体" w:hAnsi="Calibri" w:cs="Times New Roman"/>
      <w:kern w:val="2"/>
      <w:sz w:val="21"/>
      <w:szCs w:val="24"/>
    </w:rPr>
  </w:style>
  <w:style w:type="paragraph" w:styleId="1">
    <w:name w:val="heading 1"/>
    <w:basedOn w:val="a"/>
    <w:next w:val="a"/>
    <w:qFormat/>
    <w:rsid w:val="00086317"/>
    <w:pPr>
      <w:keepNext/>
      <w:keepLines/>
      <w:numPr>
        <w:numId w:val="1"/>
      </w:numPr>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正文1"/>
    <w:basedOn w:val="111"/>
    <w:next w:val="11"/>
    <w:qFormat/>
    <w:rsid w:val="00086317"/>
  </w:style>
  <w:style w:type="paragraph" w:customStyle="1" w:styleId="111">
    <w:name w:val="正文111"/>
    <w:next w:val="a"/>
    <w:qFormat/>
    <w:rsid w:val="00086317"/>
    <w:pPr>
      <w:widowControl w:val="0"/>
      <w:jc w:val="both"/>
    </w:pPr>
    <w:rPr>
      <w:rFonts w:ascii="Times New Roman" w:eastAsia="宋体" w:hAnsi="Times New Roman" w:cs="Times New Roman"/>
      <w:sz w:val="21"/>
      <w:szCs w:val="24"/>
    </w:rPr>
  </w:style>
  <w:style w:type="paragraph" w:customStyle="1" w:styleId="11">
    <w:name w:val="正文文本1"/>
    <w:basedOn w:val="110"/>
    <w:next w:val="10"/>
    <w:qFormat/>
    <w:rsid w:val="00086317"/>
    <w:pPr>
      <w:spacing w:after="120"/>
    </w:pPr>
    <w:rPr>
      <w:rFonts w:ascii="Calibri" w:hAnsi="Calibri"/>
    </w:rPr>
  </w:style>
  <w:style w:type="paragraph" w:customStyle="1" w:styleId="110">
    <w:name w:val="正文11"/>
    <w:next w:val="112"/>
    <w:qFormat/>
    <w:rsid w:val="00086317"/>
    <w:pPr>
      <w:widowControl w:val="0"/>
      <w:jc w:val="both"/>
    </w:pPr>
    <w:rPr>
      <w:rFonts w:ascii="Times New Roman" w:eastAsia="宋体" w:hAnsi="Times New Roman" w:cs="Times New Roman"/>
      <w:sz w:val="21"/>
      <w:szCs w:val="24"/>
    </w:rPr>
  </w:style>
  <w:style w:type="paragraph" w:customStyle="1" w:styleId="112">
    <w:name w:val="目录 11"/>
    <w:basedOn w:val="110"/>
    <w:next w:val="111"/>
    <w:qFormat/>
    <w:rsid w:val="00086317"/>
  </w:style>
  <w:style w:type="paragraph" w:customStyle="1" w:styleId="12">
    <w:name w:val="脚注文本1"/>
    <w:basedOn w:val="10"/>
    <w:next w:val="51"/>
    <w:qFormat/>
    <w:rsid w:val="00086317"/>
    <w:pPr>
      <w:jc w:val="left"/>
    </w:pPr>
    <w:rPr>
      <w:rFonts w:ascii="宋体" w:eastAsia="Times New Roman"/>
      <w:sz w:val="18"/>
      <w:szCs w:val="18"/>
    </w:rPr>
  </w:style>
  <w:style w:type="paragraph" w:customStyle="1" w:styleId="51">
    <w:name w:val="索引 51"/>
    <w:basedOn w:val="10"/>
    <w:next w:val="10"/>
    <w:qFormat/>
    <w:rsid w:val="00086317"/>
    <w:pPr>
      <w:ind w:left="798"/>
      <w:jc w:val="left"/>
    </w:pPr>
    <w:rPr>
      <w:rFonts w:ascii="Calibri" w:hAnsi="Calibri"/>
    </w:rPr>
  </w:style>
  <w:style w:type="paragraph" w:styleId="a3">
    <w:name w:val="header"/>
    <w:basedOn w:val="a"/>
    <w:link w:val="Char"/>
    <w:rsid w:val="002E4055"/>
    <w:pPr>
      <w:tabs>
        <w:tab w:val="center" w:pos="4153"/>
        <w:tab w:val="right" w:pos="8306"/>
      </w:tabs>
      <w:snapToGrid w:val="0"/>
      <w:jc w:val="center"/>
    </w:pPr>
    <w:rPr>
      <w:sz w:val="18"/>
      <w:szCs w:val="18"/>
    </w:rPr>
  </w:style>
  <w:style w:type="character" w:customStyle="1" w:styleId="Char">
    <w:name w:val="页眉 Char"/>
    <w:basedOn w:val="a0"/>
    <w:link w:val="a3"/>
    <w:rsid w:val="002E4055"/>
    <w:rPr>
      <w:rFonts w:ascii="Calibri" w:eastAsia="宋体" w:hAnsi="Calibri" w:cs="Times New Roman"/>
      <w:kern w:val="2"/>
      <w:sz w:val="18"/>
      <w:szCs w:val="18"/>
    </w:rPr>
  </w:style>
  <w:style w:type="paragraph" w:styleId="a4">
    <w:name w:val="footer"/>
    <w:basedOn w:val="a"/>
    <w:link w:val="Char0"/>
    <w:rsid w:val="002E4055"/>
    <w:pPr>
      <w:tabs>
        <w:tab w:val="center" w:pos="4153"/>
        <w:tab w:val="right" w:pos="8306"/>
      </w:tabs>
      <w:snapToGrid w:val="0"/>
      <w:jc w:val="left"/>
    </w:pPr>
    <w:rPr>
      <w:sz w:val="18"/>
      <w:szCs w:val="18"/>
    </w:rPr>
  </w:style>
  <w:style w:type="character" w:customStyle="1" w:styleId="Char0">
    <w:name w:val="页脚 Char"/>
    <w:basedOn w:val="a0"/>
    <w:link w:val="a4"/>
    <w:rsid w:val="002E4055"/>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161</Words>
  <Characters>921</Characters>
  <Application>Microsoft Office Word</Application>
  <DocSecurity>0</DocSecurity>
  <Lines>7</Lines>
  <Paragraphs>2</Paragraphs>
  <ScaleCrop>false</ScaleCrop>
  <Company>Microsoft</Company>
  <LinksUpToDate>false</LinksUpToDate>
  <CharactersWithSpaces>1080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懒得起名字了</dc:creator>
  <cp:lastModifiedBy>1</cp:lastModifiedBy>
  <cp:revision>3</cp:revision>
  <dcterms:created xsi:type="dcterms:W3CDTF">2025-12-04T01:21:00Z</dcterms:created>
  <dcterms:modified xsi:type="dcterms:W3CDTF">2025-12-04T01:21:00Z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B2B96BFD71414871A0951A628D2B3473_11</vt:lpwstr>
  </property>
  <property fmtid="{D5CDD505-2E9C-101B-9397-08002B2CF9AE}" pid="4" name="KSOTemplateDocerSaveRecord">
    <vt:lpwstr>eyJoZGlkIjoiMjRkYjhlYTMwM2EyNGM0ZDIwZTk0MzI4ODcwZGU5NjYiLCJ1c2VySWQiOiI2MzgzNDQ0MDQifQ==</vt:lpwstr>
  </property>
</Properties>
</file>